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4" w:rsidRDefault="00DA2AAA" w:rsidP="00DA2AAA">
      <w:pPr>
        <w:pStyle w:val="20"/>
        <w:shd w:val="clear" w:color="auto" w:fill="auto"/>
        <w:tabs>
          <w:tab w:val="left" w:pos="7834"/>
        </w:tabs>
        <w:spacing w:after="0" w:line="288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188845" distR="1047750" simplePos="0" relativeHeight="377487107" behindDoc="1" locked="0" layoutInCell="1" allowOverlap="1">
                <wp:simplePos x="0" y="0"/>
                <wp:positionH relativeFrom="margin">
                  <wp:posOffset>2189480</wp:posOffset>
                </wp:positionH>
                <wp:positionV relativeFrom="paragraph">
                  <wp:posOffset>370205</wp:posOffset>
                </wp:positionV>
                <wp:extent cx="2919095" cy="153670"/>
                <wp:effectExtent l="635" t="3175" r="4445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D84" w:rsidRDefault="00333D84" w:rsidP="00DA2AAA">
                            <w:pPr>
                              <w:pStyle w:val="5"/>
                              <w:shd w:val="clear" w:color="auto" w:fill="auto"/>
                              <w:tabs>
                                <w:tab w:val="left" w:leader="hyphen" w:pos="4339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2.4pt;margin-top:29.15pt;width:229.85pt;height:12.1pt;z-index:-125829373;visibility:visible;mso-wrap-style:square;mso-width-percent:0;mso-height-percent:0;mso-wrap-distance-left:172.35pt;mso-wrap-distance-top:0;mso-wrap-distance-right:8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hPrQ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" filled="f" stroked="f">
                <v:textbox style="mso-fit-shape-to-text:t" inset="0,0,0,0">
                  <w:txbxContent>
                    <w:p w:rsidR="00333D84" w:rsidRDefault="00333D84" w:rsidP="00DA2AAA">
                      <w:pPr>
                        <w:pStyle w:val="5"/>
                        <w:shd w:val="clear" w:color="auto" w:fill="auto"/>
                        <w:tabs>
                          <w:tab w:val="left" w:leader="hyphen" w:pos="4339"/>
                        </w:tabs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0030" distL="63500" distR="63500" simplePos="0" relativeHeight="377487108" behindDoc="1" locked="0" layoutInCell="1" allowOverlap="1">
                <wp:simplePos x="0" y="0"/>
                <wp:positionH relativeFrom="margin">
                  <wp:posOffset>4382135</wp:posOffset>
                </wp:positionH>
                <wp:positionV relativeFrom="paragraph">
                  <wp:posOffset>247015</wp:posOffset>
                </wp:positionV>
                <wp:extent cx="1734820" cy="139700"/>
                <wp:effectExtent l="12065" t="13335" r="5715" b="889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D84" w:rsidRDefault="00333D84">
                            <w:pPr>
                              <w:pStyle w:val="6"/>
                              <w:shd w:val="clear" w:color="auto" w:fill="auto"/>
                              <w:spacing w:after="0" w:line="205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45.05pt;margin-top:19.45pt;width:136.6pt;height:11pt;z-index:-125829372;visibility:visible;mso-wrap-style:square;mso-width-percent:0;mso-height-percent:0;mso-wrap-distance-left:5pt;mso-wrap-distance-top:0;mso-wrap-distance-right:5pt;mso-wrap-distance-bottom:1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sfegIAAAY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" filled="f">
                <v:textbox style="mso-fit-shape-to-text:t" inset="0,0,0,0">
                  <w:txbxContent>
                    <w:p w:rsidR="00333D84" w:rsidRDefault="00333D84">
                      <w:pPr>
                        <w:pStyle w:val="6"/>
                        <w:shd w:val="clear" w:color="auto" w:fill="auto"/>
                        <w:spacing w:after="0" w:line="205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GoBack"/>
      <w:bookmarkEnd w:id="0"/>
    </w:p>
    <w:p w:rsidR="00333D84" w:rsidRDefault="001A2F2B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1</w:t>
      </w:r>
      <w:r>
        <w:t>6.06.2025 прокурором Чамзинского района утверждено обвинительное заключение по обв</w:t>
      </w:r>
      <w:r>
        <w:t>инению 34-летнего безработного уроженца Чамзинского района Б. в совершении преступления, предусмотренного ч. 3 ст. 30, ч. 1 ст. 105 УК РФ (покушение на убийство).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ходе расследования уголовного дела установлено, что 30.03.2025 в ночное время в подъезде од</w:t>
      </w:r>
      <w:r>
        <w:t>ного из многоквартирных домов р.п. Комсомольский Чамзинского района Б., из-за ранее возникших личных неприязненных отношений к знакомой 30-летней местной жительнице Б., желая причинения смерти последней, подождал её в подъезде дома проживания, где в послед</w:t>
      </w:r>
      <w:r>
        <w:t>ующем нанес ножом не менее 22 ударов в область расположения жизненно важных органов, после чего покинул место преступления. Смерть потерпевшей не наступила только благодаря своевременно оказанной медицинской помощи.</w:t>
      </w:r>
    </w:p>
    <w:p w:rsidR="00333D84" w:rsidRDefault="001A2F2B">
      <w:pPr>
        <w:pStyle w:val="20"/>
        <w:shd w:val="clear" w:color="auto" w:fill="auto"/>
        <w:spacing w:after="320" w:line="322" w:lineRule="exact"/>
        <w:ind w:firstLine="760"/>
        <w:jc w:val="both"/>
      </w:pPr>
      <w:r>
        <w:t>После утверждения обвинительного заключе</w:t>
      </w:r>
      <w:r>
        <w:t>ния уголовное дело направлено для рассмотрения по существу в Чамзинский районный суд Республики Мордовия.</w:t>
      </w:r>
    </w:p>
    <w:p w:rsidR="00333D84" w:rsidRDefault="001A2F2B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Прокурором Чамзинского района 24.06.2025 утверждено обвинительное заключение по уголовному делу по обвинению 16-летнего жителя р.п. Чамзинка Д. в сове</w:t>
      </w:r>
      <w:r>
        <w:t>ршении преступления, предусмотренного ч. 4 ст. 111 УК РФ (умышленное причинение тяжкого вреда здоровью, опасного для жизни человека, повлекшего по неосторожности смерть потерпевшего).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По версии следствия 06 января 2025 года несовершеннолетний Д. обратился </w:t>
      </w:r>
      <w:r>
        <w:t>к ранее знакомому 49-летнему жителю р.п. Чамзинка Л. с просьбой одолжить ему денежные средства, на что получил отказ. При этом разговор на указанную тему между данными лицами перешел в словесный конфликт, в результате которого на почве сложившихся личных н</w:t>
      </w:r>
      <w:r>
        <w:t>еприязненных отношений несовершеннолетний, находясь в квартире потерпевшего, нанес последнему не менее 4 ударов, в том числе 1 удар ногой по голове. В результате потерпевший скончался в больнице от отека головного мозга.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Уголовное дело направлено для </w:t>
      </w:r>
      <w:r>
        <w:t>рассмотрения по существу в Чамзинский районный суд Республики Мордовия.</w:t>
      </w:r>
    </w:p>
    <w:p w:rsidR="00333D84" w:rsidRDefault="001A2F2B">
      <w:pPr>
        <w:pStyle w:val="20"/>
        <w:shd w:val="clear" w:color="auto" w:fill="auto"/>
        <w:spacing w:after="320" w:line="322" w:lineRule="exact"/>
        <w:ind w:firstLine="760"/>
        <w:jc w:val="both"/>
      </w:pPr>
      <w:r>
        <w:t xml:space="preserve">Уголовным кодексом РФ за данное преступление предусмотрено наказание в виде лишения свободы на срок до пятнадцати лет с ограничением свободы на срок до двух лет либо без такового (с </w:t>
      </w:r>
      <w:r>
        <w:t>учетом особенностей назначения наказания несовершеннолетним).</w:t>
      </w:r>
    </w:p>
    <w:p w:rsidR="00333D84" w:rsidRDefault="001A2F2B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По иску прокурора судом в пользу пенсионера с «дроппера» взыскано неосновательное обогащение.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02 февраля 2024 года 65-летнему пенсионеру, жителю п. Комсомольский Чамзинского района, на мобильный</w:t>
      </w:r>
      <w:r>
        <w:t xml:space="preserve"> телефон позвонил незнакомый, и под предлогом продления срока действия абонентского номера, обманув и введя в заблуждение, склонил к переводу денежных средств в сумме 400 тыс. рублей 48</w:t>
      </w:r>
      <w:r>
        <w:softHyphen/>
        <w:t>летнему жителю г. Казани.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По заявлению пенсионера прокурор района в ег</w:t>
      </w:r>
      <w:r>
        <w:t>о интересах обратился в Ново-Савиновский районный суд г. Казани с иском к лицу, неосновательно обогатившемуся за счет пенсионера. Решением суда иск удовлетворен.</w:t>
      </w:r>
    </w:p>
    <w:p w:rsidR="00333D84" w:rsidRDefault="001A2F2B">
      <w:pPr>
        <w:pStyle w:val="20"/>
        <w:shd w:val="clear" w:color="auto" w:fill="auto"/>
        <w:spacing w:after="367" w:line="322" w:lineRule="exact"/>
        <w:ind w:firstLine="740"/>
        <w:jc w:val="both"/>
      </w:pPr>
      <w:r>
        <w:t>Решение суда в законную силу не вступило, его исполнение находится на контроле прокуратуры рай</w:t>
      </w:r>
      <w:r>
        <w:t>она.</w:t>
      </w:r>
    </w:p>
    <w:p w:rsidR="00333D84" w:rsidRDefault="001A2F2B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after="313" w:line="288" w:lineRule="exact"/>
        <w:ind w:firstLine="740"/>
        <w:jc w:val="both"/>
      </w:pPr>
      <w:r>
        <w:t>Усилен контроль в миграционной сфере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Как следует из </w:t>
      </w:r>
      <w:hyperlink r:id="rId7" w:history="1">
        <w:r>
          <w:t>Указа Президента Российской Федерации от 30.12.2024</w:t>
        </w:r>
      </w:hyperlink>
      <w:r>
        <w:t xml:space="preserve"> </w:t>
      </w:r>
      <w:hyperlink r:id="rId8" w:history="1">
        <w:r>
          <w:t xml:space="preserve">№ 1126 «О </w:t>
        </w:r>
        <w:r>
          <w:t>временных мерах по урегулированию правового положения</w:t>
        </w:r>
      </w:hyperlink>
      <w:r>
        <w:t xml:space="preserve"> </w:t>
      </w:r>
      <w:hyperlink r:id="rId9" w:history="1">
        <w:r>
          <w:t>отдельных категорий иностранных граждан и лиц без гражданства в Российской</w:t>
        </w:r>
      </w:hyperlink>
      <w:r>
        <w:t xml:space="preserve"> </w:t>
      </w:r>
      <w:hyperlink r:id="rId10" w:history="1">
        <w:r>
          <w:t>Федерации в связи с применением режима высылки»</w:t>
        </w:r>
      </w:hyperlink>
      <w:r>
        <w:t>, вступившего в силу с 1 января 2025 г., нелегальные мигранты, которые должны быть включены в реестр контролируемых лиц, обязаны либо самостоятельно выехать из России либо за 4 месяца (с 1 янва</w:t>
      </w:r>
      <w:r>
        <w:t>ря по 30 апреля 2025 г.) урегулировать свое правовое положение в нашем государстве.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Названным Указом Президента Российской Федерации установлено, при каких условиях иностранцы могут урегулировать свое правовое положение без выезда, куда подаются соответств</w:t>
      </w:r>
      <w:r>
        <w:t>ующие заявления.</w:t>
      </w:r>
    </w:p>
    <w:p w:rsidR="00333D84" w:rsidRDefault="001A2F2B">
      <w:pPr>
        <w:pStyle w:val="20"/>
        <w:shd w:val="clear" w:color="auto" w:fill="auto"/>
        <w:spacing w:after="367" w:line="322" w:lineRule="exact"/>
        <w:ind w:firstLine="740"/>
        <w:jc w:val="both"/>
      </w:pPr>
      <w:r>
        <w:t>В отношении иностранцев, заключивших контракт о прохождении военной службы в Вооруженных Силах Российской Федерации или воинских формированиях, прекращают действие и не подлежат исполнению ранее принятые решения о депортации, реадмиссии, н</w:t>
      </w:r>
      <w:r>
        <w:t>еразрешении въезда в Россию, нежелательности пребывания (проживания) в ней, сокращении срока временного пребывания.</w:t>
      </w:r>
    </w:p>
    <w:p w:rsidR="00333D84" w:rsidRDefault="001A2F2B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after="313" w:line="288" w:lineRule="exact"/>
        <w:ind w:firstLine="740"/>
        <w:jc w:val="both"/>
      </w:pPr>
      <w:r>
        <w:t>О телефонном мошенничестве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 начала 2025 года в республике возбуждено более 940 уголовных дел о «телефонных» и «интернет» мошенничествах (+ </w:t>
      </w:r>
      <w:r>
        <w:t>19 уголовных дел за последнюю неделю).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Причиненный ущерб составил более 156 млн рублей (+4,1 млн рублей за прошедшую неделю).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Граждане переводили и отдавали мошенникам свои деньги под предлогом аннулирования заявок на кредит, оказания услуг, приобретения </w:t>
      </w:r>
      <w:r>
        <w:t>товаров, получения заработка на интернет-площадках, блокировки подозрительных транзакций.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Так, 54-летняя жительница республики, действуя по указания лжесотрудников портала «Госуслуги» и Центрального банка России, под предлогом защиты от несанкционированных</w:t>
      </w:r>
      <w:r>
        <w:t xml:space="preserve"> списаний перевела на «безопасный счет» денежные средства в сумме более 500 тыс. рублей.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Граждане, будьте внимательны!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Избегайте телефонных разговоров с подозрительными людьми, которые представляются сотрудниками банка и иных финансковых учреждений, не бой</w:t>
      </w:r>
      <w:r>
        <w:t>тесь прервать разговор, просто кладите трубку.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Внимательно читайте СМС сообщения, приходящие из банка.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 покупайте товар в интернет-магазинах по явно заниженной стоимости, так как это очевидно мошенники.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В сети «Интернет» не переходите по ссылкам на неизв</w:t>
      </w:r>
      <w:r>
        <w:t>естные сайты.</w:t>
      </w:r>
    </w:p>
    <w:p w:rsidR="00333D84" w:rsidRDefault="001A2F2B">
      <w:pPr>
        <w:pStyle w:val="20"/>
        <w:shd w:val="clear" w:color="auto" w:fill="auto"/>
        <w:spacing w:after="300" w:line="326" w:lineRule="exact"/>
        <w:ind w:firstLine="740"/>
        <w:jc w:val="both"/>
      </w:pPr>
      <w:r>
        <w:t>С каждым разом мошенники прибегают к новым уловкам, чтобы выманить у вас сбережения!</w:t>
      </w:r>
    </w:p>
    <w:p w:rsidR="00333D84" w:rsidRDefault="001A2F2B">
      <w:pPr>
        <w:pStyle w:val="30"/>
        <w:numPr>
          <w:ilvl w:val="0"/>
          <w:numId w:val="1"/>
        </w:numPr>
        <w:shd w:val="clear" w:color="auto" w:fill="auto"/>
        <w:tabs>
          <w:tab w:val="left" w:pos="1358"/>
        </w:tabs>
        <w:spacing w:before="0" w:after="304" w:line="326" w:lineRule="exact"/>
        <w:ind w:firstLine="740"/>
        <w:jc w:val="both"/>
      </w:pPr>
      <w:r>
        <w:t>Установлена ежемесячная социальная выплата детям военнослужащих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Указом Президента Российской Федерации от 26.12.2024 № 1110 «О ежемесячной социальной выплате</w:t>
      </w:r>
      <w:r>
        <w:t xml:space="preserve"> детям отдельных категорий военнослужащих» установлена ежемесячная социальная выплата детям военнослужащих, захваченных в плен или пропавших без вести в период участия в специальной военной операции либо при выполнении задач на территориях проведения контр</w:t>
      </w:r>
      <w:r>
        <w:t xml:space="preserve">террористической операции или специальных задач на территории Сирийской Арабской Республики, в размере, равном величине прожиточного минимума для детей, установленной в субъекте Российской Федерации (по месту жительства детей) в соответствии с Федеральным </w:t>
      </w:r>
      <w:r>
        <w:t>законом от 24.10.1997 № 134-ФЗ «О прожиточном минимуме в Российской Федерации».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Ежемесячная социальная выплата, установленная настоящим Указом, осуществляется соответственно:</w:t>
      </w:r>
    </w:p>
    <w:p w:rsidR="00333D84" w:rsidRDefault="001A2F2B">
      <w:pPr>
        <w:pStyle w:val="20"/>
        <w:shd w:val="clear" w:color="auto" w:fill="auto"/>
        <w:tabs>
          <w:tab w:val="left" w:pos="1099"/>
        </w:tabs>
        <w:spacing w:after="0" w:line="322" w:lineRule="exact"/>
        <w:ind w:firstLine="740"/>
        <w:jc w:val="both"/>
      </w:pPr>
      <w:r>
        <w:t>а)</w:t>
      </w:r>
      <w:r>
        <w:tab/>
        <w:t>со дня, указанного в приказе командира (начальника), содержащем сведения о зах</w:t>
      </w:r>
      <w:r>
        <w:t>вате военнослужащего в плен, но не ранее чем с 1 декабря 2024 г., - за период нахождения в плену;</w:t>
      </w:r>
    </w:p>
    <w:p w:rsidR="00333D84" w:rsidRDefault="001A2F2B">
      <w:pPr>
        <w:pStyle w:val="20"/>
        <w:shd w:val="clear" w:color="auto" w:fill="auto"/>
        <w:tabs>
          <w:tab w:val="left" w:pos="1099"/>
        </w:tabs>
        <w:spacing w:after="300" w:line="322" w:lineRule="exact"/>
        <w:ind w:firstLine="740"/>
        <w:jc w:val="both"/>
      </w:pPr>
      <w:r>
        <w:t>б)</w:t>
      </w:r>
      <w:r>
        <w:tab/>
        <w:t>со дня, указанного в приказе командира (начальника), содержащем сведения о пропаже без вести военнослужащего, но не ранее чем с 1 декабря 2024 г., - не бол</w:t>
      </w:r>
      <w:r>
        <w:t>ее чем в течение шести месяцев со дня, указанного в приказе командира.</w:t>
      </w:r>
    </w:p>
    <w:p w:rsidR="00333D84" w:rsidRDefault="001A2F2B">
      <w:pPr>
        <w:pStyle w:val="30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322" w:lineRule="exact"/>
        <w:ind w:firstLine="740"/>
        <w:jc w:val="both"/>
      </w:pPr>
      <w:r>
        <w:t>Каков порядок назначения и осуществления единовременных выплат участникам боевых действий на территориях ДНР и ЛНР, ставшими инвалидами в результате полученного увечья?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Текст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Постановлением Правительства Российской Федерации от 12.06.2025 № 891 утверждены Правила назначения и осуществления единовременной выплаты, установленной Указом Президента Российской Федерации от 10.03.2025 № 137.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Право на получение выплаты возникает у лиц</w:t>
      </w:r>
      <w:r>
        <w:t>, принимавших участие в боевых действиях с 11 мая 2014 года в составе воинских формирований и органов ЛНР и ДНР, Народной милиции ЛНР, Вооруженных Сил ДНР, которым установлена инвалидность в результате полученного увечья.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Для реализации данного права, необ</w:t>
      </w:r>
      <w:r>
        <w:t>ходимо обратиться в военный комиссариат муниципального образования, территориальный орган МВД России или территориальный орган безопасности по месту жительства с заявлением в письменном виде по приведенной в Правилах форме, с приложением установленных доку</w:t>
      </w:r>
      <w:r>
        <w:t>ментов.</w:t>
      </w:r>
    </w:p>
    <w:p w:rsidR="00333D84" w:rsidRDefault="001A2F2B">
      <w:pPr>
        <w:pStyle w:val="20"/>
        <w:shd w:val="clear" w:color="auto" w:fill="auto"/>
        <w:spacing w:after="347" w:line="322" w:lineRule="exact"/>
        <w:ind w:firstLine="760"/>
        <w:jc w:val="both"/>
      </w:pPr>
      <w:r>
        <w:t>Решение о назначении единовременной выплаты оформляется соответствующим приказом.</w:t>
      </w:r>
    </w:p>
    <w:p w:rsidR="00333D84" w:rsidRDefault="001A2F2B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293" w:line="288" w:lineRule="exact"/>
        <w:ind w:firstLine="760"/>
        <w:jc w:val="both"/>
      </w:pPr>
      <w:r>
        <w:t>В чем особенность режима ненормированного рабочего дня?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lastRenderedPageBreak/>
        <w:t>Особенность режима ненормированного рабочего дня заключается в том, что отдельные сотрудники могут привлекатьс</w:t>
      </w:r>
      <w:r>
        <w:t>я к работе за пределами обычного графика по распоряжению работодателя. При этом такие переработки должны быть эпизодическими и обоснованными.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Согласно Трудовому кодексу РФ (ч. 2 ст. 57, ч. 1 ст. 101), режим ненормированного дня должен быть прописан в трудо</w:t>
      </w:r>
      <w:r>
        <w:t>вом договоре. Перечень должностей, на которые может распространяться такой режим, утверждается коллективным договором или локальным нормативным актом с учётом мнения представителей работников.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Если сотрудник работает неполную неделю, но полный день, ненорм</w:t>
      </w:r>
      <w:r>
        <w:t>ированный график может быть установлен без перевода на полную занятость. Для привлечения к сверхурочной работе достаточно внутреннего распоряжения работодателя - согласие сотрудника не требуется. Порядок издания такого документа законодательством не реглам</w:t>
      </w:r>
      <w:r>
        <w:t>ентируется.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Работодатель может вызвать работника как до начала, так и после окончания основного рабочего времени. Закон не ограничивает продолжительность дополнительной работы, однако она не должна становиться системой. Обычно это допускается не более трёх</w:t>
      </w:r>
      <w:r>
        <w:t xml:space="preserve"> раз в неделю и только при наличии реальной необходимости.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Несмотря на особый режим, сотрудник остаётся под защитой общих правил: он имеет право на отдых в выходные и праздничные дни. В случае их совпадения с работой, оплата производится не менее чем в дво</w:t>
      </w:r>
      <w:r>
        <w:t>йном размере (ст. 113, ч. 1, 3, 4 ст. 153 ТК РФ). По желанию сотрудника вместо повышенной оплаты может быть предоставлен день отдыха, который оплачивается в одинарном размере.</w:t>
      </w:r>
    </w:p>
    <w:p w:rsidR="00333D84" w:rsidRDefault="001A2F2B">
      <w:pPr>
        <w:pStyle w:val="20"/>
        <w:shd w:val="clear" w:color="auto" w:fill="auto"/>
        <w:spacing w:after="320" w:line="322" w:lineRule="exact"/>
        <w:ind w:firstLine="760"/>
        <w:jc w:val="both"/>
      </w:pPr>
      <w:r>
        <w:t>При систематическом нарушении порядка привлечения к работе (например, постоянных</w:t>
      </w:r>
      <w:r>
        <w:t xml:space="preserve"> переработках), работник вправе обратиться в инспекцию труда или суд для защиты своих прав.</w:t>
      </w:r>
    </w:p>
    <w:p w:rsidR="00333D84" w:rsidRDefault="001A2F2B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after="0" w:line="322" w:lineRule="exact"/>
        <w:ind w:firstLine="760"/>
        <w:jc w:val="both"/>
      </w:pPr>
      <w:r>
        <w:t>Есть ли особенности привлечения к ответственности за нарушение требований пожарной безопасности?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Текст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Нарушение требований пожарной безопасности представляет собой</w:t>
      </w:r>
      <w:r>
        <w:t xml:space="preserve"> особую категорию правонарушений, угрожающих жизни и здоровью людей, а также имуществу. Такие деяния регулируются не только административным законодательством, но и в ряде случаев могут повлечь уголовную ответственность.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Согласно статье 20.4 КоАП РФ, наруш</w:t>
      </w:r>
      <w:r>
        <w:t>ением считается неисполнение или ненадлежащее исполнение обязанностей по обеспечению пожарной безопасности, установленных Федеральным законом №69-ФЗ «О пожарной безопасности». Ответственность может наступить для юридических лиц и индивидуальных предпринима</w:t>
      </w:r>
      <w:r>
        <w:t>телей, если они не провели необходимые противопожарные мероприятия, не обучили сотрудников действиям при возгорании, либо допустили эксплуатацию зданий и сооружений с нарушениями требований пожарной безопасности.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Для привлечения к административной ответств</w:t>
      </w:r>
      <w:r>
        <w:t>енности достаточно составления протокола должностным лицом органа государственного пожарного надзора. При этом доказывание наличия вины лица в совершении данного правонарушения не требуется — ответственность наступает объективно, то есть сам факт нарушения</w:t>
      </w:r>
      <w:r>
        <w:t xml:space="preserve"> является </w:t>
      </w:r>
      <w:r>
        <w:lastRenderedPageBreak/>
        <w:t>достаточным основанием для привлечения к ответственности.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Кроме того, частью 4 статьи 20.4 КоАП РФ предусмотрена повышенная ответственность за повторное нарушение, совершенное в течение года после наложения административного взыскания за аналогич</w:t>
      </w:r>
      <w:r>
        <w:t>ное деяние. Санкция предусматривает наложение штрафа в увеличенном размере либо дисквалификацию должностных лиц.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случае, если нарушение повлекло причинение вреда здоровью или смерть человека, либо значительный материальный ущерб, применяется статья 219 У</w:t>
      </w:r>
      <w:r>
        <w:t>К РФ - оказание услуг, не отвечающих требованиям безопасности, либо ч. 2 ст. 219 УК РФ - причинение смерти по неосторожности вследствие ненадлежащего исполнения обязанностей по обеспечению безопасности.</w:t>
      </w:r>
    </w:p>
    <w:p w:rsidR="00333D84" w:rsidRDefault="001A2F2B">
      <w:pPr>
        <w:pStyle w:val="20"/>
        <w:shd w:val="clear" w:color="auto" w:fill="auto"/>
        <w:spacing w:after="320" w:line="322" w:lineRule="exact"/>
        <w:ind w:firstLine="760"/>
        <w:jc w:val="both"/>
      </w:pPr>
      <w:r>
        <w:t>Таким образом, соблюдение требований пожарной безопас</w:t>
      </w:r>
      <w:r>
        <w:t>ности — это не формальность, а обязательное условие деятельности организаций и ИП, от которого зависит жизнь и здоровье граждан. Нарушение этих требований может повлечь не только административное, но и уголовное наказание.</w:t>
      </w:r>
    </w:p>
    <w:p w:rsidR="00333D84" w:rsidRDefault="001A2F2B">
      <w:pPr>
        <w:pStyle w:val="30"/>
        <w:numPr>
          <w:ilvl w:val="0"/>
          <w:numId w:val="1"/>
        </w:numPr>
        <w:shd w:val="clear" w:color="auto" w:fill="auto"/>
        <w:tabs>
          <w:tab w:val="left" w:pos="1231"/>
        </w:tabs>
        <w:spacing w:before="0" w:after="0" w:line="322" w:lineRule="exact"/>
        <w:ind w:firstLine="760"/>
        <w:jc w:val="both"/>
      </w:pPr>
      <w:r>
        <w:t>Внесены изменения в трудовое зако</w:t>
      </w:r>
      <w:r>
        <w:t>нодательство.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Текст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С 1 сентября 2025 года вступает в силу постановление Правительства Российской Федерации от 24.03.2025 № 351 «О предоставлении отпусков работникам, усыновившим ребенка» (вместе с «Правилами предоставления отпусков работникам, усыновившим</w:t>
      </w:r>
      <w:r>
        <w:t xml:space="preserve"> ребенка») согласно которому обновлены правила предоставления отпусков лицам, усыновившим ребенка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Так, работникам, которые усыновили ребенка предоставляется отпуск на период со дня усыновления ребенка и до истечения 70 календарных дней со дня рождения ребе</w:t>
      </w:r>
      <w:r>
        <w:t>нка, а при одновременном усыновлении 2 и более детей - 110 календарных дней со дня их рождения.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60"/>
        <w:jc w:val="both"/>
      </w:pPr>
      <w:r>
        <w:t>Также при необходимости предоставляется отпуск до достижения ребенком 3 лет. Для этого усыновитель подает работодателю заявление о предоставлении отпуска с указ</w:t>
      </w:r>
      <w:r>
        <w:t>анием его продолжительности с копией свидетельства о рождении ребенка. Вдобавок необходимо предъявить решение суда, либо его копию об усыновлении ребенка (детей).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Если ребенка усыновили оба родителя, то указанные отпуска предоставляются одному из супругов </w:t>
      </w:r>
      <w:r>
        <w:t>по их усмотрению. Вместе с тем, усыновителю назначается и выплачивается пособие в порядке и размере, которые установлены для выплаты пособия по беременности и родам.</w:t>
      </w:r>
    </w:p>
    <w:p w:rsidR="00333D84" w:rsidRDefault="001A2F2B">
      <w:pPr>
        <w:pStyle w:val="20"/>
        <w:shd w:val="clear" w:color="auto" w:fill="auto"/>
        <w:spacing w:after="367" w:line="322" w:lineRule="exact"/>
        <w:ind w:firstLine="740"/>
        <w:jc w:val="both"/>
      </w:pPr>
      <w:r>
        <w:t>Кроме того, законодатель предупреждает об уголовной ответственности в соответствии с закон</w:t>
      </w:r>
      <w:r>
        <w:t>одательством Российской Федерации лиц, осведомленных об усыновлении ребенка (детей), в случае разглашения тайны усыновления ребенка (детей) вопреки воле усыновителя.</w:t>
      </w:r>
    </w:p>
    <w:p w:rsidR="00333D84" w:rsidRDefault="001A2F2B">
      <w:pPr>
        <w:pStyle w:val="30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313" w:line="288" w:lineRule="exact"/>
        <w:ind w:firstLine="740"/>
        <w:jc w:val="both"/>
      </w:pPr>
      <w:r>
        <w:t>Создан реестр должников по алиментам.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Федеральным законом от 29.05.2024 № 114-ФЗ внесены и</w:t>
      </w:r>
      <w:r>
        <w:t>зменения в Федеральный закон «Об исполнительном производстве». Одним из основных изменений является создание реестра должников по алиментам.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Установлено, что сведения о должниках по алиментам, привлеченных к административной или уголовной ответственности з</w:t>
      </w:r>
      <w:r>
        <w:t>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или объявленных судебным приставом-исполнителем в розыск, содержащиеся в банке данных в исполнител</w:t>
      </w:r>
      <w:r>
        <w:t>ьном производстве, включаются в реестр должников по алиментным обязательствам, являющийся составной частью банка данных в исполнительном производстве.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Должник по алиментным обязательствам в течение суток с момента включения сведений о нем в реестр должнико</w:t>
      </w:r>
      <w:r>
        <w:t>в и исключения таких сведений из указанного реестра извещается об этом.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</w:t>
      </w:r>
      <w:r>
        <w:t>ей, достигших восемнадцатилетнего возраста, либо нетрудоспособных родителей отнесена к общедоступным сведениям, содержащимся в банке данных. Подобные сведения вносятся в реестр должников по алиментным обязательствам в течение 5 дней с момента их поступлени</w:t>
      </w:r>
      <w:r>
        <w:t>я в Федеральную службу судебных приставов.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Данные по исполнительным производствам, должники по которым включены в реестр должников по алиментным обязательствам, находятся в общем доступе до исключения таких сведений о должнике из указанного реестра в связи</w:t>
      </w:r>
      <w:r>
        <w:t xml:space="preserve">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333D84" w:rsidRDefault="001A2F2B">
      <w:pPr>
        <w:pStyle w:val="20"/>
        <w:shd w:val="clear" w:color="auto" w:fill="auto"/>
        <w:spacing w:after="0" w:line="322" w:lineRule="exact"/>
        <w:ind w:firstLine="740"/>
        <w:jc w:val="both"/>
      </w:pPr>
      <w:r>
        <w:t>С целью получения актуальной информации о трудоустройстве должника Федеральная служба судебных приставов имеет право запра</w:t>
      </w:r>
      <w:r>
        <w:t>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333D84" w:rsidRDefault="001A2F2B">
      <w:pPr>
        <w:pStyle w:val="80"/>
        <w:shd w:val="clear" w:color="auto" w:fill="auto"/>
      </w:pPr>
      <w:r>
        <w:t>Анализируемые изменени</w:t>
      </w:r>
      <w:r>
        <w:t>я в законе вступили в силу с 25.05.2025.</w:t>
      </w:r>
    </w:p>
    <w:sectPr w:rsidR="00333D84">
      <w:headerReference w:type="default" r:id="rId11"/>
      <w:pgSz w:w="11900" w:h="16840"/>
      <w:pgMar w:top="1162" w:right="537" w:bottom="1176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2B" w:rsidRDefault="001A2F2B">
      <w:r>
        <w:separator/>
      </w:r>
    </w:p>
  </w:endnote>
  <w:endnote w:type="continuationSeparator" w:id="0">
    <w:p w:rsidR="001A2F2B" w:rsidRDefault="001A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2B" w:rsidRDefault="001A2F2B"/>
  </w:footnote>
  <w:footnote w:type="continuationSeparator" w:id="0">
    <w:p w:rsidR="001A2F2B" w:rsidRDefault="001A2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84" w:rsidRDefault="00DA2A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4104005</wp:posOffset>
              </wp:positionH>
              <wp:positionV relativeFrom="page">
                <wp:posOffset>403225</wp:posOffset>
              </wp:positionV>
              <wp:extent cx="70485" cy="16065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D84" w:rsidRDefault="001A2F2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2AAA" w:rsidRPr="00DA2AAA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3.15pt;margin-top:31.7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AZlSOTdAAAACQEAAA8AAAAAAAAAAAAA&#10;AAAAAAUAAGRycy9kb3ducmV2LnhtbFBLBQYAAAAABAAEAPMAAAAKBgAAAAA=&#10;" filled="f" stroked="f">
              <v:textbox style="mso-fit-shape-to-text:t" inset="0,0,0,0">
                <w:txbxContent>
                  <w:p w:rsidR="00333D84" w:rsidRDefault="001A2F2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2AAA" w:rsidRPr="00DA2AAA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52D5"/>
    <w:multiLevelType w:val="multilevel"/>
    <w:tmpl w:val="0CA0A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84"/>
    <w:rsid w:val="001A2F2B"/>
    <w:rsid w:val="00333D84"/>
    <w:rsid w:val="00D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495FD"/>
  <w15:docId w15:val="{C58FB923-FAB1-4ECA-AF48-FD042CFE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+ 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68ptExact">
    <w:name w:val="Основной текст (6) + 8 pt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2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22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0" w:lineRule="exact"/>
      <w:jc w:val="both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23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17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30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30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95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2308</Words>
  <Characters>13161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2025-06-27T06:39:00Z</dcterms:created>
  <dcterms:modified xsi:type="dcterms:W3CDTF">2025-06-27T06:43:00Z</dcterms:modified>
</cp:coreProperties>
</file>